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82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ohlraumboden - Neubau Stadthaus 4 - Bauwerke Münster Gmb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Nass- und Trockenhohlraumboden auf 12.800m2 über fünf Etagen und vier Bauteilen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